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before="0" w:after="0"/>
        <w:contextualSpacing/>
      </w:pPr>
      <w: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/>
        </w:rPr>
        <w:instrText xml:space="preserve">ADDIN CNKISM.UserStyle</w:instrText>
      </w:r>
      <w:r>
        <w:fldChar w:fldCharType="end"/>
      </w:r>
      <w:bookmarkStart w:id="0" w:name="_Toc180530400"/>
      <w:r>
        <w:rPr>
          <w:rFonts w:hint="eastAsia"/>
        </w:rPr>
        <w:t>《就业认知实践》课程教学大纲</w:t>
      </w:r>
      <w:bookmarkEnd w:id="0"/>
      <w:r>
        <w:rPr>
          <w:rFonts w:hint="eastAsia"/>
        </w:rPr>
        <w:t xml:space="preserve"> </w:t>
      </w:r>
    </w:p>
    <w:p>
      <w:pPr>
        <w:tabs>
          <w:tab w:val="left" w:pos="672"/>
        </w:tabs>
        <w:spacing w:line="400" w:lineRule="exact"/>
        <w:ind w:firstLine="560" w:firstLineChars="200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（实践课程·2024版）</w:t>
      </w:r>
    </w:p>
    <w:p>
      <w:pPr>
        <w:spacing w:line="360" w:lineRule="auto"/>
        <w:ind w:firstLine="482" w:firstLineChars="200"/>
        <w:rPr>
          <w:rFonts w:ascii="黑体" w:hAnsi="黑体" w:eastAsia="黑体" w:cs="黑体"/>
          <w:bCs/>
          <w:color w:val="FF0000"/>
          <w:sz w:val="24"/>
        </w:rPr>
      </w:pPr>
      <w:r>
        <w:rPr>
          <w:rFonts w:hint="eastAsia" w:ascii="黑体" w:hAnsi="黑体" w:eastAsia="黑体" w:cs="黑体"/>
          <w:b/>
          <w:sz w:val="24"/>
        </w:rPr>
        <w:t>一、课程基本信息</w:t>
      </w:r>
    </w:p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701"/>
        <w:gridCol w:w="2268"/>
        <w:gridCol w:w="1701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 程 号</w:t>
            </w: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B107203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  <w:tc>
          <w:tcPr>
            <w:tcW w:w="28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外国语学院（国际教育学院）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color w:val="FF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804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（中文）就业认知实践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color w:val="FF0000"/>
                <w:sz w:val="24"/>
              </w:rPr>
            </w:pPr>
          </w:p>
        </w:tc>
        <w:tc>
          <w:tcPr>
            <w:tcW w:w="6804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（英文）Internship for Career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课程性质</w:t>
            </w: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考核类型</w:t>
            </w:r>
          </w:p>
        </w:tc>
        <w:tc>
          <w:tcPr>
            <w:tcW w:w="28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课程学分</w:t>
            </w: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课程学时</w:t>
            </w:r>
          </w:p>
        </w:tc>
        <w:tc>
          <w:tcPr>
            <w:tcW w:w="28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课程类别</w:t>
            </w:r>
          </w:p>
        </w:tc>
        <w:tc>
          <w:tcPr>
            <w:tcW w:w="679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集中实践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先修课程</w:t>
            </w:r>
          </w:p>
        </w:tc>
        <w:tc>
          <w:tcPr>
            <w:tcW w:w="679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专业认知实践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适用专业（类）</w:t>
            </w:r>
          </w:p>
        </w:tc>
        <w:tc>
          <w:tcPr>
            <w:tcW w:w="679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英语</w:t>
            </w:r>
          </w:p>
        </w:tc>
      </w:tr>
    </w:tbl>
    <w:p>
      <w:pPr>
        <w:spacing w:line="360" w:lineRule="auto"/>
        <w:ind w:firstLine="482" w:firstLineChars="200"/>
        <w:rPr>
          <w:rFonts w:ascii="黑体" w:hAnsi="黑体" w:eastAsia="黑体" w:cs="黑体"/>
          <w:bCs/>
          <w:color w:val="FF0000"/>
          <w:sz w:val="24"/>
        </w:rPr>
      </w:pPr>
      <w:r>
        <w:rPr>
          <w:rFonts w:hint="eastAsia" w:ascii="黑体" w:hAnsi="黑体" w:eastAsia="黑体" w:cs="黑体"/>
          <w:b/>
          <w:sz w:val="24"/>
        </w:rPr>
        <w:t>二、课程描述及目标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（一）课程简介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该实践课程为本科英语专业集中性实践环节教学课。旨在使学生了解近几年研究生招考的基本情况---包括申请英语国家研究生、跨专业研究生考录情况、国内英语专业以及相近专业如英语教学、教育、商务英语、翻译专业硕士等就业情况。通过一周的实习实践，可以使学生进一步掌握调查方法、统计分析方法，也更好地了解本专业毕业生的实际情况，从而为自己考研深造、走向社会奠定基础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（二）教学目标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课程目标1：学生通过外出参观、考察、观摩以及面试、职场发展等形式，及时了解英语及相关专业的考研情况，或者选择调研英语及相关的就业情况，包括就业走向、待遇等情况，培养学生的职业意识，帮助学生建立正确的职业观念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课程目标2：引导学生进行自我评估，明确自己的兴趣和优势，同时激发学生的创新思维和创业意识，引导学生进行自我评估，明确自己的兴趣和优势，培养学生制定职业规划的能力。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课程目标3：增强学生服务社会的意识，加强个人的职业道德感，树立正确的职业观和价值观。</w:t>
      </w:r>
    </w:p>
    <w:p>
      <w:pPr>
        <w:spacing w:line="360" w:lineRule="auto"/>
        <w:ind w:firstLine="480" w:firstLineChars="200"/>
        <w:rPr>
          <w:rFonts w:ascii="黑体" w:hAnsi="黑体" w:eastAsia="黑体" w:cs="黑体"/>
          <w:bCs/>
          <w:color w:val="FF0000"/>
          <w:sz w:val="24"/>
        </w:rPr>
      </w:pPr>
      <w:r>
        <w:rPr>
          <w:rFonts w:hint="eastAsia" w:ascii="黑体" w:hAnsi="黑体" w:eastAsia="黑体" w:cs="黑体"/>
          <w:bCs/>
          <w:sz w:val="24"/>
        </w:rPr>
        <w:t>三、课程目标对毕业要求的支撑关系</w:t>
      </w:r>
    </w:p>
    <w:tbl>
      <w:tblPr>
        <w:tblStyle w:val="3"/>
        <w:tblW w:w="8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068"/>
        <w:gridCol w:w="1302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tblHeader/>
          <w:jc w:val="center"/>
        </w:trPr>
        <w:tc>
          <w:tcPr>
            <w:tcW w:w="6068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</w:rPr>
              <w:t>毕业要求指标点</w:t>
            </w:r>
          </w:p>
        </w:tc>
        <w:tc>
          <w:tcPr>
            <w:tcW w:w="1302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</w:rPr>
              <w:t>课程目标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068" w:type="dxa"/>
            <w:tcMar>
              <w:top w:w="57" w:type="dxa"/>
              <w:bottom w:w="57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9-2：对学业和未来发展进行自我规划、自我监管、自我评价、自我调节</w:t>
            </w:r>
          </w:p>
        </w:tc>
        <w:tc>
          <w:tcPr>
            <w:tcW w:w="1302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课程目标1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068" w:type="dxa"/>
            <w:tcMar>
              <w:top w:w="57" w:type="dxa"/>
              <w:bottom w:w="57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9-3：在本专业及相关学科领域中，能够通过不断学习，适应社会和个人可持续发展。</w:t>
            </w:r>
          </w:p>
        </w:tc>
        <w:tc>
          <w:tcPr>
            <w:tcW w:w="1302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课程目标2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课程目标3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0.5</w:t>
            </w:r>
          </w:p>
        </w:tc>
      </w:tr>
    </w:tbl>
    <w:p>
      <w:pPr>
        <w:numPr>
          <w:ilvl w:val="0"/>
          <w:numId w:val="1"/>
        </w:numPr>
        <w:spacing w:line="360" w:lineRule="auto"/>
        <w:ind w:firstLine="482" w:firstLineChars="200"/>
        <w:rPr>
          <w:rFonts w:ascii="黑体" w:hAnsi="黑体" w:eastAsia="黑体" w:cs="黑体"/>
          <w:b/>
          <w:sz w:val="24"/>
        </w:rPr>
      </w:pPr>
      <w:r>
        <w:rPr>
          <w:rFonts w:hint="eastAsia" w:ascii="黑体" w:hAnsi="黑体" w:eastAsia="黑体" w:cs="黑体"/>
          <w:b/>
          <w:sz w:val="24"/>
        </w:rPr>
        <w:t>教学方式和方法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《就业认知实践》课程的教学方式和方法应该多样化且灵活，以确保学生能够全面地获得所需的就业准备知识和技能。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(1)调研方式分为两类：网络调研和实地调研。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(2)统一安排到实习基地顶岗实习以及面试、职场发展等讲座。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(</w:t>
      </w:r>
      <w:r>
        <w:rPr>
          <w:rFonts w:hint="eastAsia" w:ascii="仿宋_GB2312" w:hAnsi="仿宋_GB2312" w:eastAsia="仿宋_GB2312" w:cs="仿宋_GB2312"/>
          <w:sz w:val="24"/>
          <w:szCs w:val="24"/>
        </w:rPr>
        <w:t>3</w:t>
      </w:r>
      <w:r>
        <w:rPr>
          <w:rFonts w:ascii="仿宋_GB2312" w:hAnsi="仿宋_GB2312" w:eastAsia="仿宋_GB2312" w:cs="仿宋_GB2312"/>
          <w:sz w:val="24"/>
          <w:szCs w:val="24"/>
        </w:rPr>
        <w:t>)撰写实践报告，字数不得少于3000字，中文为主，中英文结合。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(</w:t>
      </w:r>
      <w:r>
        <w:rPr>
          <w:rFonts w:hint="eastAsia" w:ascii="仿宋_GB2312" w:hAnsi="仿宋_GB2312" w:eastAsia="仿宋_GB2312" w:cs="仿宋_GB2312"/>
          <w:sz w:val="24"/>
          <w:szCs w:val="24"/>
        </w:rPr>
        <w:t>4</w:t>
      </w:r>
      <w:r>
        <w:rPr>
          <w:rFonts w:ascii="仿宋_GB2312" w:hAnsi="仿宋_GB2312" w:eastAsia="仿宋_GB2312" w:cs="仿宋_GB2312"/>
          <w:sz w:val="24"/>
          <w:szCs w:val="24"/>
        </w:rPr>
        <w:t>)调研与顶岗实习一般选其一，优先考虑顶岗实习，其他单位实习须经学院批准且与英语运用相关。</w:t>
      </w:r>
    </w:p>
    <w:p>
      <w:pPr>
        <w:tabs>
          <w:tab w:val="left" w:pos="570"/>
        </w:tabs>
        <w:spacing w:line="360" w:lineRule="auto"/>
        <w:ind w:firstLine="482" w:firstLineChars="200"/>
        <w:rPr>
          <w:rFonts w:ascii="黑体" w:hAnsi="黑体" w:eastAsia="黑体" w:cs="黑体"/>
          <w:b/>
          <w:sz w:val="24"/>
        </w:rPr>
      </w:pPr>
      <w:r>
        <w:rPr>
          <w:rFonts w:hint="eastAsia" w:ascii="黑体" w:hAnsi="黑体" w:eastAsia="黑体" w:cs="黑体"/>
          <w:b/>
          <w:sz w:val="24"/>
        </w:rPr>
        <w:t>五、教学重点与难点</w:t>
      </w:r>
    </w:p>
    <w:p>
      <w:pPr>
        <w:spacing w:line="360" w:lineRule="auto"/>
        <w:ind w:firstLine="482" w:firstLineChars="200"/>
        <w:rPr>
          <w:rFonts w:ascii="黑体" w:hAnsi="黑体" w:eastAsia="黑体" w:cs="仿宋_GB2312"/>
          <w:b/>
          <w:bCs/>
          <w:sz w:val="24"/>
          <w:szCs w:val="24"/>
        </w:rPr>
      </w:pPr>
      <w:r>
        <w:rPr>
          <w:rFonts w:hint="eastAsia" w:ascii="黑体" w:hAnsi="黑体" w:eastAsia="黑体" w:cs="仿宋_GB2312"/>
          <w:b/>
          <w:bCs/>
          <w:sz w:val="24"/>
          <w:szCs w:val="24"/>
        </w:rPr>
        <w:t>（一）教学重点</w:t>
      </w:r>
    </w:p>
    <w:p>
      <w:pPr>
        <w:spacing w:line="360" w:lineRule="auto"/>
        <w:ind w:left="239" w:leftChars="114"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《就业认知实践》课程的重点在于帮助学生更好地理解就业市场的需求，提升他们的职业竞争力，并为他们未来的职业生涯做好准备。</w:t>
      </w:r>
    </w:p>
    <w:p>
      <w:pPr>
        <w:spacing w:line="360" w:lineRule="auto"/>
        <w:ind w:firstLine="482" w:firstLineChars="200"/>
        <w:rPr>
          <w:rFonts w:ascii="黑体" w:hAnsi="黑体" w:eastAsia="黑体" w:cs="仿宋_GB2312"/>
          <w:b/>
          <w:bCs/>
          <w:sz w:val="24"/>
          <w:szCs w:val="24"/>
        </w:rPr>
      </w:pPr>
      <w:r>
        <w:rPr>
          <w:rFonts w:hint="eastAsia" w:ascii="黑体" w:hAnsi="黑体" w:eastAsia="黑体" w:cs="仿宋_GB2312"/>
          <w:b/>
          <w:bCs/>
          <w:sz w:val="24"/>
          <w:szCs w:val="24"/>
        </w:rPr>
        <w:t>（二）教学难点</w:t>
      </w:r>
    </w:p>
    <w:p>
      <w:pPr>
        <w:numPr>
          <w:ilvl w:val="0"/>
          <w:numId w:val="2"/>
        </w:numPr>
        <w:spacing w:line="360" w:lineRule="auto"/>
        <w:ind w:left="420" w:leftChars="200" w:firstLine="4" w:firstLineChars="2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理论与实践的结合：将抽象的理论知识转化为学生可以应用的实际操作能力。需要通过实习、实训等方式让学生在真实的或模拟的工作环境中锻炼，这需要学校与企业的紧密合作。</w:t>
      </w:r>
    </w:p>
    <w:p>
      <w:pPr>
        <w:numPr>
          <w:ilvl w:val="0"/>
          <w:numId w:val="2"/>
        </w:numPr>
        <w:spacing w:line="360" w:lineRule="auto"/>
        <w:ind w:left="420" w:left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个性化指导：每个学生的情况都不相同，根据不同学生的特点提供个性化的指导和支持是难点之一</w:t>
      </w:r>
      <w:r>
        <w:rPr>
          <w:rFonts w:hint="eastAsia" w:ascii="仿宋_GB2312" w:hAnsi="仿宋_GB2312" w:eastAsia="仿宋_GB2312" w:cs="仿宋_GB2312"/>
          <w:sz w:val="24"/>
          <w:szCs w:val="24"/>
        </w:rPr>
        <w:t>，</w:t>
      </w:r>
      <w:r>
        <w:rPr>
          <w:rFonts w:ascii="仿宋_GB2312" w:hAnsi="仿宋_GB2312" w:eastAsia="仿宋_GB2312" w:cs="仿宋_GB2312"/>
          <w:sz w:val="24"/>
          <w:szCs w:val="24"/>
        </w:rPr>
        <w:t>需要有经验丰富的</w:t>
      </w:r>
      <w:r>
        <w:rPr>
          <w:rFonts w:hint="eastAsia" w:ascii="仿宋_GB2312" w:hAnsi="仿宋_GB2312" w:eastAsia="仿宋_GB2312" w:cs="仿宋_GB2312"/>
          <w:sz w:val="24"/>
          <w:szCs w:val="24"/>
        </w:rPr>
        <w:t>教师</w:t>
      </w:r>
      <w:r>
        <w:rPr>
          <w:rFonts w:ascii="仿宋_GB2312" w:hAnsi="仿宋_GB2312" w:eastAsia="仿宋_GB2312" w:cs="仿宋_GB2312"/>
          <w:sz w:val="24"/>
          <w:szCs w:val="24"/>
        </w:rPr>
        <w:t>来帮助学生制定适合自己的职业发展路径。</w:t>
      </w:r>
    </w:p>
    <w:p>
      <w:pPr>
        <w:numPr>
          <w:ilvl w:val="0"/>
          <w:numId w:val="2"/>
        </w:numPr>
        <w:spacing w:line="360" w:lineRule="auto"/>
        <w:ind w:left="420" w:left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职业兴趣与市场需求的匹配：学生的兴趣爱好与市场需求之间可能存在差距，如何平衡二者之间的关系，引导学生既追求个人兴趣又兼顾就业前景。</w:t>
      </w:r>
    </w:p>
    <w:p>
      <w:pPr>
        <w:numPr>
          <w:ilvl w:val="0"/>
          <w:numId w:val="2"/>
        </w:numPr>
        <w:spacing w:line="360" w:lineRule="auto"/>
        <w:ind w:left="420" w:left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心理调适与适应能力：学生在从校园到职场的过渡中可能会面临心理上的挑战，如何帮助他们适应新的环境，处理好工作压力和个人情绪。通过心理健康教育和心理咨询服务来支持学生的心理健康。</w:t>
      </w:r>
    </w:p>
    <w:p>
      <w:pPr>
        <w:numPr>
          <w:ilvl w:val="0"/>
          <w:numId w:val="2"/>
        </w:numPr>
        <w:spacing w:line="360" w:lineRule="auto"/>
        <w:ind w:left="420" w:left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持续跟踪与反馈：持续跟踪学生的就业情况，并根据反馈调整教学内容和方法，以适应不断变化的就业市场。需要建立一套有效的跟踪机制，并鼓励学生积极参与到这个过程中来。</w:t>
      </w:r>
    </w:p>
    <w:p>
      <w:pPr>
        <w:tabs>
          <w:tab w:val="left" w:pos="570"/>
        </w:tabs>
        <w:spacing w:line="360" w:lineRule="auto"/>
        <w:ind w:firstLine="482" w:firstLineChars="200"/>
        <w:rPr>
          <w:rFonts w:ascii="黑体" w:hAnsi="黑体" w:eastAsia="黑体" w:cs="黑体"/>
          <w:b/>
          <w:sz w:val="24"/>
        </w:rPr>
      </w:pPr>
      <w:r>
        <w:rPr>
          <w:rFonts w:hint="eastAsia" w:ascii="黑体" w:hAnsi="黑体" w:eastAsia="黑体" w:cs="黑体"/>
          <w:b/>
          <w:sz w:val="24"/>
        </w:rPr>
        <w:t>六、教学内容、基本要求与学时分配</w:t>
      </w:r>
    </w:p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77"/>
        <w:gridCol w:w="1622"/>
        <w:gridCol w:w="2899"/>
        <w:gridCol w:w="709"/>
        <w:gridCol w:w="1192"/>
        <w:gridCol w:w="1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tblHeader/>
          <w:jc w:val="center"/>
        </w:trPr>
        <w:tc>
          <w:tcPr>
            <w:tcW w:w="577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napToGrid w:val="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24"/>
              </w:rPr>
              <w:t>序号</w:t>
            </w:r>
          </w:p>
        </w:tc>
        <w:tc>
          <w:tcPr>
            <w:tcW w:w="1622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napToGrid w:val="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24"/>
              </w:rPr>
              <w:t>教学内容</w:t>
            </w:r>
          </w:p>
        </w:tc>
        <w:tc>
          <w:tcPr>
            <w:tcW w:w="2899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napToGrid w:val="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24"/>
              </w:rPr>
              <w:t>基本要求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napToGrid w:val="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24"/>
              </w:rPr>
              <w:t>学时</w:t>
            </w:r>
          </w:p>
        </w:tc>
        <w:tc>
          <w:tcPr>
            <w:tcW w:w="1192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napToGrid w:val="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24"/>
              </w:rPr>
              <w:t>教学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b/>
                <w:snapToGrid w:val="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24"/>
              </w:rPr>
              <w:t>方式</w:t>
            </w:r>
          </w:p>
        </w:tc>
        <w:tc>
          <w:tcPr>
            <w:tcW w:w="1506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napToGrid w:val="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24"/>
              </w:rPr>
              <w:t>对应课程目标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16" w:hRule="atLeast"/>
          <w:jc w:val="center"/>
        </w:trPr>
        <w:tc>
          <w:tcPr>
            <w:tcW w:w="577" w:type="dxa"/>
            <w:tcMar>
              <w:top w:w="57" w:type="dxa"/>
              <w:bottom w:w="57" w:type="dxa"/>
            </w:tcMar>
            <w:vAlign w:val="center"/>
          </w:tcPr>
          <w:p>
            <w:pPr>
              <w:ind w:firstLine="210" w:firstLineChars="1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622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实践培训</w:t>
            </w:r>
          </w:p>
        </w:tc>
        <w:tc>
          <w:tcPr>
            <w:tcW w:w="2899" w:type="dxa"/>
            <w:tcMar>
              <w:top w:w="57" w:type="dxa"/>
              <w:bottom w:w="57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安排实习指导教师、联系实习单位及人员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92" w:type="dxa"/>
            <w:tcMar>
              <w:top w:w="57" w:type="dxa"/>
              <w:bottom w:w="57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教师指导，小组讨论</w:t>
            </w:r>
          </w:p>
        </w:tc>
        <w:tc>
          <w:tcPr>
            <w:tcW w:w="150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课程目标1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77" w:type="dxa"/>
            <w:tcMar>
              <w:top w:w="57" w:type="dxa"/>
              <w:bottom w:w="57" w:type="dxa"/>
            </w:tcMar>
            <w:vAlign w:val="center"/>
          </w:tcPr>
          <w:p>
            <w:pPr>
              <w:ind w:firstLine="210" w:firstLineChars="1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1622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分组实践</w:t>
            </w:r>
          </w:p>
        </w:tc>
        <w:tc>
          <w:tcPr>
            <w:tcW w:w="2899" w:type="dxa"/>
            <w:tcMar>
              <w:top w:w="57" w:type="dxa"/>
              <w:bottom w:w="57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自行或指导教师带队到达实习单位开始实习。提前与单位负责人沟通好住宿、考勤、成绩评定、注意事项等要求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92" w:type="dxa"/>
            <w:tcMar>
              <w:top w:w="57" w:type="dxa"/>
              <w:bottom w:w="57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分组讨论</w:t>
            </w:r>
          </w:p>
        </w:tc>
        <w:tc>
          <w:tcPr>
            <w:tcW w:w="150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课程目标1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课程目标2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23" w:hRule="atLeast"/>
          <w:jc w:val="center"/>
        </w:trPr>
        <w:tc>
          <w:tcPr>
            <w:tcW w:w="577" w:type="dxa"/>
            <w:tcMar>
              <w:top w:w="57" w:type="dxa"/>
              <w:bottom w:w="57" w:type="dxa"/>
            </w:tcMar>
            <w:vAlign w:val="center"/>
          </w:tcPr>
          <w:p>
            <w:pPr>
              <w:ind w:firstLine="210" w:firstLineChars="1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1622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实践汇报</w:t>
            </w:r>
          </w:p>
        </w:tc>
        <w:tc>
          <w:tcPr>
            <w:tcW w:w="2899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就顶岗实习过程中的体会撰写成报告的形式进行汇报总结。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92" w:type="dxa"/>
            <w:tcMar>
              <w:top w:w="57" w:type="dxa"/>
              <w:bottom w:w="57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汇报展示</w:t>
            </w:r>
          </w:p>
        </w:tc>
        <w:tc>
          <w:tcPr>
            <w:tcW w:w="150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课程目标1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课程目标2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098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 w:val="0"/>
                <w:kern w:val="0"/>
                <w:sz w:val="24"/>
              </w:rPr>
              <w:t>合  计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Cs w:val="21"/>
              </w:rPr>
              <w:t>1周</w:t>
            </w:r>
          </w:p>
        </w:tc>
        <w:tc>
          <w:tcPr>
            <w:tcW w:w="1192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Cs w:val="21"/>
              </w:rPr>
            </w:pPr>
          </w:p>
        </w:tc>
        <w:tc>
          <w:tcPr>
            <w:tcW w:w="15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Cs w:val="21"/>
              </w:rPr>
            </w:pPr>
          </w:p>
        </w:tc>
      </w:tr>
    </w:tbl>
    <w:p>
      <w:pPr>
        <w:numPr>
          <w:ilvl w:val="0"/>
          <w:numId w:val="3"/>
        </w:numPr>
        <w:spacing w:line="360" w:lineRule="auto"/>
        <w:ind w:firstLine="482" w:firstLineChars="200"/>
        <w:rPr>
          <w:rFonts w:ascii="黑体" w:hAnsi="黑体" w:eastAsia="黑体" w:cs="黑体"/>
          <w:b/>
          <w:sz w:val="24"/>
        </w:rPr>
      </w:pPr>
      <w:r>
        <w:rPr>
          <w:rFonts w:hint="eastAsia" w:ascii="黑体" w:hAnsi="黑体" w:eastAsia="黑体" w:cs="黑体"/>
          <w:b/>
          <w:sz w:val="24"/>
        </w:rPr>
        <w:t>实习或</w:t>
      </w:r>
      <w:r>
        <w:rPr>
          <w:rFonts w:ascii="黑体" w:hAnsi="黑体" w:eastAsia="黑体" w:cs="黑体"/>
          <w:b/>
          <w:sz w:val="24"/>
        </w:rPr>
        <w:t>课程设计</w:t>
      </w:r>
      <w:r>
        <w:rPr>
          <w:rFonts w:hint="eastAsia" w:ascii="黑体" w:hAnsi="黑体" w:eastAsia="黑体" w:cs="黑体"/>
          <w:b/>
          <w:sz w:val="24"/>
        </w:rPr>
        <w:t>成果呈现要求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学生在实习过程中需要留存</w:t>
      </w:r>
      <w:r>
        <w:rPr>
          <w:rFonts w:ascii="仿宋_GB2312" w:hAnsi="仿宋_GB2312" w:eastAsia="仿宋_GB2312" w:cs="仿宋_GB2312"/>
          <w:sz w:val="24"/>
          <w:szCs w:val="24"/>
        </w:rPr>
        <w:t>笔记、录音、照片、录像等，以供在展示时所用。在实习基地等单位实习的</w:t>
      </w:r>
      <w:r>
        <w:rPr>
          <w:rFonts w:hint="eastAsia" w:ascii="仿宋_GB2312" w:hAnsi="仿宋_GB2312" w:eastAsia="仿宋_GB2312" w:cs="仿宋_GB2312"/>
          <w:sz w:val="24"/>
          <w:szCs w:val="24"/>
        </w:rPr>
        <w:t>学生</w:t>
      </w:r>
      <w:r>
        <w:rPr>
          <w:rFonts w:ascii="仿宋_GB2312" w:hAnsi="仿宋_GB2312" w:eastAsia="仿宋_GB2312" w:cs="仿宋_GB2312"/>
          <w:sz w:val="24"/>
          <w:szCs w:val="24"/>
        </w:rPr>
        <w:t>，考勤、成绩等由实习单位提供，实习结束后，指导老师负责收齐。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撰写实践报告，字数不得少于3000字，中英文结合</w:t>
      </w:r>
      <w:r>
        <w:rPr>
          <w:rFonts w:hint="eastAsia" w:ascii="仿宋_GB2312" w:hAnsi="仿宋_GB2312" w:eastAsia="仿宋_GB2312" w:cs="仿宋_GB2312"/>
          <w:sz w:val="24"/>
          <w:szCs w:val="24"/>
        </w:rPr>
        <w:t>，</w:t>
      </w:r>
      <w:r>
        <w:rPr>
          <w:rFonts w:ascii="仿宋_GB2312" w:hAnsi="仿宋_GB2312" w:eastAsia="仿宋_GB2312" w:cs="仿宋_GB2312"/>
          <w:sz w:val="24"/>
          <w:szCs w:val="24"/>
        </w:rPr>
        <w:t>中文为主。如果是调研，同组成员的报告分组、调研方法、题目、内容可以相同，但实践体会、问题与建议不得雷同。指导老师需强调调查的可行性与可信度，方法与结果要一致，在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PPT</w:t>
      </w:r>
      <w:r>
        <w:rPr>
          <w:rFonts w:ascii="仿宋_GB2312" w:hAnsi="仿宋_GB2312" w:eastAsia="仿宋_GB2312" w:cs="仿宋_GB2312"/>
          <w:sz w:val="24"/>
          <w:szCs w:val="24"/>
        </w:rPr>
        <w:t>展示与报告中， 调查方法与步骤要详细，不</w:t>
      </w:r>
      <w:r>
        <w:rPr>
          <w:rFonts w:hint="eastAsia" w:ascii="仿宋_GB2312" w:hAnsi="仿宋_GB2312" w:eastAsia="仿宋_GB2312" w:cs="仿宋_GB2312"/>
          <w:sz w:val="24"/>
          <w:szCs w:val="24"/>
        </w:rPr>
        <w:t>能</w:t>
      </w:r>
      <w:r>
        <w:rPr>
          <w:rFonts w:ascii="仿宋_GB2312" w:hAnsi="仿宋_GB2312" w:eastAsia="仿宋_GB2312" w:cs="仿宋_GB2312"/>
          <w:sz w:val="24"/>
          <w:szCs w:val="24"/>
        </w:rPr>
        <w:t>一带而过。若在实习单位进行考核，成绩比例为考勤表现（10分）、单位评价（50分）、报告（40分）；其他形式考核则考勤表现（10分）、汇报（30分）、报告（60分）。</w:t>
      </w:r>
    </w:p>
    <w:p>
      <w:pPr>
        <w:numPr>
          <w:ilvl w:val="0"/>
          <w:numId w:val="3"/>
        </w:numPr>
        <w:spacing w:line="360" w:lineRule="auto"/>
        <w:ind w:firstLine="482" w:firstLineChars="200"/>
        <w:rPr>
          <w:rFonts w:ascii="黑体" w:hAnsi="黑体" w:eastAsia="黑体" w:cs="黑体"/>
          <w:b/>
          <w:sz w:val="24"/>
        </w:rPr>
      </w:pPr>
      <w:r>
        <w:rPr>
          <w:rFonts w:hint="eastAsia" w:ascii="黑体" w:hAnsi="黑体" w:eastAsia="黑体" w:cs="黑体"/>
          <w:b/>
          <w:sz w:val="24"/>
        </w:rPr>
        <w:t>学业评价和课程考核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（一）考核类型：</w:t>
      </w:r>
      <w:r>
        <w:rPr>
          <w:rFonts w:hint="eastAsia" w:ascii="仿宋_GB2312" w:hAnsi="仿宋_GB2312" w:eastAsia="仿宋_GB2312" w:cs="仿宋_GB2312"/>
          <w:sz w:val="24"/>
        </w:rPr>
        <w:sym w:font="Wingdings" w:char="00FE"/>
      </w:r>
      <w:r>
        <w:rPr>
          <w:rFonts w:hint="eastAsia" w:ascii="仿宋_GB2312" w:hAnsi="仿宋_GB2312" w:eastAsia="仿宋_GB2312" w:cs="仿宋_GB2312"/>
          <w:sz w:val="24"/>
        </w:rPr>
        <w:t>考查</w:t>
      </w:r>
    </w:p>
    <w:p>
      <w:pPr>
        <w:tabs>
          <w:tab w:val="left" w:pos="672"/>
        </w:tabs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（二）考核方式：</w:t>
      </w:r>
      <w:r>
        <w:rPr>
          <w:rFonts w:hint="eastAsia" w:ascii="仿宋_GB2312" w:hAnsi="仿宋_GB2312" w:eastAsia="仿宋_GB2312" w:cs="仿宋_GB2312"/>
          <w:sz w:val="24"/>
        </w:rPr>
        <w:sym w:font="Wingdings" w:char="00FE"/>
      </w:r>
      <w:r>
        <w:rPr>
          <w:rFonts w:hint="eastAsia" w:ascii="仿宋_GB2312" w:hAnsi="仿宋_GB2312" w:eastAsia="仿宋_GB2312" w:cs="仿宋_GB2312"/>
          <w:sz w:val="24"/>
        </w:rPr>
        <w:t xml:space="preserve">实践报告  </w:t>
      </w:r>
      <w:r>
        <w:rPr>
          <w:rFonts w:ascii="仿宋_GB2312" w:hAnsi="仿宋_GB2312" w:eastAsia="仿宋_GB2312" w:cs="仿宋_GB2312"/>
          <w:sz w:val="24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sym w:font="Wingdings" w:char="F0A8"/>
      </w:r>
      <w:r>
        <w:rPr>
          <w:rFonts w:hint="eastAsia" w:ascii="仿宋_GB2312" w:hAnsi="仿宋_GB2312" w:eastAsia="仿宋_GB2312" w:cs="仿宋_GB2312"/>
          <w:sz w:val="24"/>
        </w:rPr>
        <w:t>实践作品</w:t>
      </w:r>
    </w:p>
    <w:p>
      <w:pPr>
        <w:tabs>
          <w:tab w:val="left" w:pos="672"/>
        </w:tabs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</w:t>
      </w:r>
      <w:r>
        <w:rPr>
          <w:rFonts w:hint="eastAsia" w:ascii="仿宋_GB2312" w:hAnsi="仿宋_GB2312" w:eastAsia="仿宋_GB2312" w:cs="仿宋_GB2312"/>
          <w:sz w:val="24"/>
        </w:rPr>
        <w:sym w:font="Wingdings" w:char="00A8"/>
      </w:r>
      <w:r>
        <w:rPr>
          <w:rFonts w:hint="eastAsia" w:ascii="仿宋_GB2312" w:hAnsi="仿宋_GB2312" w:eastAsia="仿宋_GB2312" w:cs="仿宋_GB2312"/>
          <w:sz w:val="24"/>
        </w:rPr>
        <w:t xml:space="preserve">其它：                  </w:t>
      </w:r>
    </w:p>
    <w:p>
      <w:pPr>
        <w:numPr>
          <w:ilvl w:val="0"/>
          <w:numId w:val="4"/>
        </w:numPr>
        <w:tabs>
          <w:tab w:val="left" w:pos="672"/>
        </w:tabs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考核环节和考核方式对课程目标的支撑：</w:t>
      </w:r>
    </w:p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9"/>
        <w:gridCol w:w="1800"/>
        <w:gridCol w:w="2454"/>
        <w:gridCol w:w="1810"/>
        <w:gridCol w:w="1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tblHeader/>
          <w:jc w:val="center"/>
        </w:trPr>
        <w:tc>
          <w:tcPr>
            <w:tcW w:w="859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考核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环节</w:t>
            </w:r>
          </w:p>
        </w:tc>
        <w:tc>
          <w:tcPr>
            <w:tcW w:w="180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考核内容</w:t>
            </w:r>
          </w:p>
        </w:tc>
        <w:tc>
          <w:tcPr>
            <w:tcW w:w="2454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考核/评价方式</w:t>
            </w:r>
          </w:p>
        </w:tc>
        <w:tc>
          <w:tcPr>
            <w:tcW w:w="181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建议分值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（百分比）</w:t>
            </w: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对应课程目标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859" w:type="dxa"/>
            <w:vMerge w:val="restart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过程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b/>
                <w:snapToGrid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考核</w:t>
            </w:r>
          </w:p>
        </w:tc>
        <w:tc>
          <w:tcPr>
            <w:tcW w:w="1800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过程环节1</w:t>
            </w:r>
          </w:p>
        </w:tc>
        <w:tc>
          <w:tcPr>
            <w:tcW w:w="2454" w:type="dxa"/>
            <w:tcMar>
              <w:top w:w="57" w:type="dxa"/>
              <w:bottom w:w="57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依据学生实践中的考勤、参与度方面进行赋分。</w:t>
            </w:r>
          </w:p>
        </w:tc>
        <w:tc>
          <w:tcPr>
            <w:tcW w:w="181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10%</w:t>
            </w:r>
          </w:p>
        </w:tc>
        <w:tc>
          <w:tcPr>
            <w:tcW w:w="158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859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</w:p>
        </w:tc>
        <w:tc>
          <w:tcPr>
            <w:tcW w:w="1800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过程环节2</w:t>
            </w:r>
          </w:p>
        </w:tc>
        <w:tc>
          <w:tcPr>
            <w:tcW w:w="2454" w:type="dxa"/>
            <w:tcMar>
              <w:top w:w="57" w:type="dxa"/>
              <w:bottom w:w="57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根据学生汇报过程中各项实践任务的表现情况进行赋分，考察在就业认知过程情况、团队合作能力等情况。</w:t>
            </w:r>
          </w:p>
        </w:tc>
        <w:tc>
          <w:tcPr>
            <w:tcW w:w="181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50%</w:t>
            </w:r>
          </w:p>
        </w:tc>
        <w:tc>
          <w:tcPr>
            <w:tcW w:w="158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课程目标1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课程目标2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859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成果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考核</w:t>
            </w:r>
          </w:p>
        </w:tc>
        <w:tc>
          <w:tcPr>
            <w:tcW w:w="180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实践报告</w:t>
            </w:r>
          </w:p>
        </w:tc>
        <w:tc>
          <w:tcPr>
            <w:tcW w:w="2454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根据学生撰写的实践报告从结构完整性、内容详实度及逻辑性等方面赋分。</w:t>
            </w:r>
          </w:p>
        </w:tc>
        <w:tc>
          <w:tcPr>
            <w:tcW w:w="181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40%</w:t>
            </w:r>
          </w:p>
        </w:tc>
        <w:tc>
          <w:tcPr>
            <w:tcW w:w="158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课程目标1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课程目标2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课程目标3</w:t>
            </w:r>
          </w:p>
        </w:tc>
      </w:tr>
    </w:tbl>
    <w:p>
      <w:pPr>
        <w:spacing w:line="360" w:lineRule="auto"/>
        <w:ind w:firstLine="480" w:firstLineChars="200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（四）考核/评价细则</w:t>
      </w:r>
    </w:p>
    <w:p>
      <w:pPr>
        <w:tabs>
          <w:tab w:val="left" w:pos="672"/>
        </w:tabs>
        <w:spacing w:line="400" w:lineRule="exact"/>
        <w:ind w:firstLine="480" w:firstLineChars="200"/>
        <w:rPr>
          <w:rFonts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在过程考核环节中，过程环节1根据学生小组参与积极性、出勤等方面进行赋分，满分为10%，如无故出现未到情况，一次扣除5%，请假扣除2%。</w:t>
      </w:r>
    </w:p>
    <w:p>
      <w:pPr>
        <w:tabs>
          <w:tab w:val="left" w:pos="672"/>
        </w:tabs>
        <w:spacing w:line="400" w:lineRule="exact"/>
        <w:ind w:firstLine="480" w:firstLineChars="200"/>
        <w:rPr>
          <w:rFonts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过程环节2，根据小组汇报情况进行赋分，满分为50%，PPT展示的打分情况根据演讲者在台上表现、PPT信息完整性和准确性、视觉吸引力、逻辑度和创新性进行打分，满分为50%。</w:t>
      </w:r>
    </w:p>
    <w:p>
      <w:pPr>
        <w:tabs>
          <w:tab w:val="left" w:pos="672"/>
        </w:tabs>
        <w:spacing w:line="400" w:lineRule="exact"/>
        <w:ind w:firstLine="480" w:firstLineChars="200"/>
        <w:rPr>
          <w:rFonts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最终成果考核环节中，实践报告从结构完整性、内容、逻辑、创新点和格式等方面进行打分，满分为40%。</w:t>
      </w:r>
    </w:p>
    <w:p>
      <w:pPr>
        <w:spacing w:line="360" w:lineRule="auto"/>
        <w:ind w:firstLine="241" w:firstLineChars="100"/>
        <w:rPr>
          <w:rFonts w:ascii="黑体" w:hAnsi="黑体" w:eastAsia="黑体" w:cs="黑体"/>
          <w:b/>
          <w:sz w:val="24"/>
        </w:rPr>
      </w:pPr>
      <w:r>
        <w:rPr>
          <w:rFonts w:hint="eastAsia" w:ascii="黑体" w:hAnsi="黑体" w:eastAsia="黑体" w:cs="黑体"/>
          <w:b/>
          <w:sz w:val="24"/>
        </w:rPr>
        <w:t>九、课程目标达成评价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《就业认知实践》评价覆盖课程的核心要素，包括但不限于职业认知、技能提升、实践经验、求职技巧以及职业规划等方面。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首先，在技能提升评价方面。要求学生展示其在课程中学到的专业技能，如软件操作、外语能力等。同伴互评：通过小组内部的互评，评估学生在团队合作、沟通能力等方面的表现。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其次，在创新与反思评价方面。鼓励学生提出创新性的职业发展思路或项目计划。反思日志：要求学生记录整个课程期间的心得体会，包括在整个实习过程中的得与失。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最后，综合能力评价。多角度评分：综合教师评价、实习单位的指导教师评价等多个角度的数据，得出学生的最终得分。质性评价：除了量化的分数外，还应包括对学生表现的质性评价，如态度、努力程度、团队精神等。</w:t>
      </w:r>
    </w:p>
    <w:p>
      <w:pPr>
        <w:spacing w:line="360" w:lineRule="auto"/>
        <w:ind w:firstLine="482" w:firstLineChars="200"/>
        <w:rPr>
          <w:rFonts w:ascii="黑体" w:hAnsi="黑体" w:eastAsia="黑体" w:cs="黑体"/>
          <w:bCs/>
          <w:color w:val="FF0000"/>
        </w:rPr>
      </w:pPr>
      <w:r>
        <w:rPr>
          <w:rFonts w:hint="eastAsia" w:ascii="黑体" w:hAnsi="黑体" w:eastAsia="黑体" w:cs="黑体"/>
          <w:b/>
          <w:sz w:val="24"/>
        </w:rPr>
        <w:t>十、推荐教材和主要参考资料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（一）参考教材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1.《</w:t>
      </w:r>
      <w:r>
        <w:rPr>
          <w:rFonts w:hint="eastAsia" w:ascii="仿宋_GB2312" w:hAnsi="仿宋_GB2312" w:eastAsia="仿宋_GB2312" w:cs="仿宋_GB2312"/>
          <w:sz w:val="24"/>
          <w:szCs w:val="24"/>
        </w:rPr>
        <w:t>大学生就业指导》，周晓东等，中国经济出版社，</w:t>
      </w:r>
      <w:r>
        <w:rPr>
          <w:rFonts w:ascii="仿宋_GB2312" w:hAnsi="仿宋_GB2312" w:eastAsia="仿宋_GB2312" w:cs="仿宋_GB2312"/>
          <w:sz w:val="24"/>
          <w:szCs w:val="24"/>
        </w:rPr>
        <w:t>202</w:t>
      </w:r>
      <w:r>
        <w:rPr>
          <w:rFonts w:hint="eastAsia" w:ascii="仿宋_GB2312" w:hAnsi="仿宋_GB2312" w:eastAsia="仿宋_GB2312" w:cs="仿宋_GB2312"/>
          <w:sz w:val="24"/>
          <w:szCs w:val="24"/>
        </w:rPr>
        <w:t>4</w:t>
      </w:r>
      <w:r>
        <w:rPr>
          <w:rFonts w:ascii="仿宋_GB2312" w:hAnsi="仿宋_GB2312" w:eastAsia="仿宋_GB2312" w:cs="仿宋_GB2312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2.《</w:t>
      </w:r>
      <w:r>
        <w:rPr>
          <w:rFonts w:hint="eastAsia" w:ascii="仿宋_GB2312" w:hAnsi="仿宋_GB2312" w:eastAsia="仿宋_GB2312" w:cs="仿宋_GB2312"/>
          <w:sz w:val="24"/>
          <w:szCs w:val="24"/>
        </w:rPr>
        <w:t>大学生就业指导（第二版）</w:t>
      </w:r>
      <w:r>
        <w:rPr>
          <w:rFonts w:ascii="仿宋_GB2312" w:hAnsi="仿宋_GB2312" w:eastAsia="仿宋_GB2312" w:cs="仿宋_GB2312"/>
          <w:sz w:val="24"/>
          <w:szCs w:val="24"/>
        </w:rPr>
        <w:t>》，</w:t>
      </w:r>
      <w:r>
        <w:rPr>
          <w:rFonts w:hint="eastAsia" w:ascii="仿宋_GB2312" w:hAnsi="仿宋_GB2312" w:eastAsia="仿宋_GB2312" w:cs="仿宋_GB2312"/>
          <w:sz w:val="24"/>
          <w:szCs w:val="24"/>
        </w:rPr>
        <w:t>胡恩立</w:t>
      </w:r>
      <w:r>
        <w:rPr>
          <w:rFonts w:ascii="仿宋_GB2312" w:hAnsi="仿宋_GB2312" w:eastAsia="仿宋_GB2312" w:cs="仿宋_GB2312"/>
          <w:sz w:val="24"/>
          <w:szCs w:val="24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</w:rPr>
        <w:t>高等教育</w:t>
      </w:r>
      <w:r>
        <w:rPr>
          <w:rFonts w:ascii="仿宋_GB2312" w:hAnsi="仿宋_GB2312" w:eastAsia="仿宋_GB2312" w:cs="仿宋_GB2312"/>
          <w:sz w:val="24"/>
          <w:szCs w:val="24"/>
        </w:rPr>
        <w:t>学出版社，20</w:t>
      </w:r>
      <w:r>
        <w:rPr>
          <w:rFonts w:hint="eastAsia" w:ascii="仿宋_GB2312" w:hAnsi="仿宋_GB2312" w:eastAsia="仿宋_GB2312" w:cs="仿宋_GB2312"/>
          <w:sz w:val="24"/>
          <w:szCs w:val="24"/>
        </w:rPr>
        <w:t>21</w:t>
      </w:r>
      <w:r>
        <w:rPr>
          <w:rFonts w:ascii="仿宋_GB2312" w:hAnsi="仿宋_GB2312" w:eastAsia="仿宋_GB2312" w:cs="仿宋_GB2312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（二）网络资源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专业技能认知实践借助信息化实践平台校友邦，实现对学生实践课程设置的精细化管理，实践教学过程的规范化管理，包括实习资源配置与管理，实习过程管理与辅导，实习质量监控以及最终考核评定。</w:t>
      </w:r>
    </w:p>
    <w:p/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C17C12"/>
    <w:multiLevelType w:val="singleLevel"/>
    <w:tmpl w:val="92C17C1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4C0811D"/>
    <w:multiLevelType w:val="singleLevel"/>
    <w:tmpl w:val="D4C0811D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A3E3B48"/>
    <w:multiLevelType w:val="singleLevel"/>
    <w:tmpl w:val="2A3E3B48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D1F7409"/>
    <w:multiLevelType w:val="singleLevel"/>
    <w:tmpl w:val="7D1F740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xMDg5MWQzZWExZjdiNWVkZTk2M2NjOGY3OGM3OTcifQ=="/>
  </w:docVars>
  <w:rsids>
    <w:rsidRoot w:val="00000000"/>
    <w:rsid w:val="69275CEA"/>
    <w:rsid w:val="73E2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方正小标宋简体"/>
      <w:b/>
      <w:bCs/>
      <w:kern w:val="44"/>
      <w:sz w:val="44"/>
      <w:szCs w:val="4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2023-05-27T13:56:00Z</dcterms:created>
  <dc:creator>Administrator</dc:creator>
  <cp:lastModifiedBy>CJ</cp:lastModifiedBy>
  <dcterms:modified xsi:type="dcterms:W3CDTF">2026-01-04T03:44:15Z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AFC2E9DB28A540A08B4E0C301DF83979_12</vt:lpwstr>
  </property>
</Properties>
</file>