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方正小标宋简体" w:hAnsi="方正小标宋简体" w:cs="方正小标宋简体"/>
        </w:rPr>
      </w:pPr>
      <w:r>
        <w:rPr>
          <w:rFonts w:hint="eastAsia" w:ascii="方正小标宋简体" w:hAnsi="方正小标宋简体" w:cs="方正小标宋简体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简体" w:hAnsi="方正小标宋简体" w:cs="方正小标宋简体"/>
        </w:rPr>
        <w:instrText xml:space="preserve">ADDIN CNKISM.UserStyle</w:instrText>
      </w:r>
      <w:r>
        <w:rPr>
          <w:rFonts w:hint="eastAsia" w:ascii="方正小标宋简体" w:hAnsi="方正小标宋简体" w:cs="方正小标宋简体"/>
        </w:rPr>
        <w:fldChar w:fldCharType="end"/>
      </w:r>
      <w:bookmarkStart w:id="0" w:name="_Toc180530398"/>
      <w:r>
        <w:rPr>
          <w:rFonts w:hint="eastAsia" w:ascii="方正小标宋简体" w:hAnsi="方正小标宋简体" w:cs="方正小标宋简体"/>
        </w:rPr>
        <w:t>《专业认知实践》课程教学大纲</w:t>
      </w:r>
      <w:bookmarkEnd w:id="0"/>
    </w:p>
    <w:p>
      <w:pPr>
        <w:tabs>
          <w:tab w:val="left" w:pos="672"/>
        </w:tabs>
        <w:spacing w:line="400" w:lineRule="exact"/>
        <w:ind w:firstLine="560" w:firstLineChars="200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（实践课程·2024版）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一、课程基本信息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701"/>
        <w:gridCol w:w="2268"/>
        <w:gridCol w:w="170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 程 号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B107201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外国语学院（国际教育学院）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color w:val="FF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（中文）专业认知实践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color w:val="FF0000"/>
                <w:sz w:val="24"/>
              </w:rPr>
            </w:pPr>
          </w:p>
        </w:tc>
        <w:tc>
          <w:tcPr>
            <w:tcW w:w="680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（英文）Major Recognition Internship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课程性质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考核类型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课程学分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课程学时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课程类别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集中实践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先修课程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适用专业（类）</w:t>
            </w:r>
          </w:p>
        </w:tc>
        <w:tc>
          <w:tcPr>
            <w:tcW w:w="679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英语</w:t>
            </w:r>
          </w:p>
        </w:tc>
      </w:tr>
    </w:tbl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二、课程描述及目标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（一）课程简介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课程为四年制本科英语专业集中性实践环节教学课。旨在使学生初步了解政府机构、各级各类学校、社会企事业单位等对英语专业知识的运用情况以及单位经营情况、人才需求情况等，侧重于社会调查。通过一周的实习实践，可以使学生掌握社会调查方法，更好地了解社会，熟悉实际操作，也可以使学生对本专业的性质以及专业学习、规划、未来出口等有更直接、更切身的体验，从而为今后的专业学习打下良好的基础。 同时，借助贴合实际的社会指导，塑造更立体的知识面，培养大学生的政治导向和价值引领，以理论知识结合实践经验演变出“1+1&gt;2”的效果。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（二）教学目标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课程目标1：学生通过社会调查，初步了解社会各行各业对于英语专业知识的需求情况，以此更好地了解社会，为未来的专业学习和个人职业发展打下基础。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课程目标2：提升政治导向和价值引领，强调专业领域的伦理标准和社会责任，为后期英语语言学习的各个方向打下良好的基础。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课程目标3：激发学生的团队合作意识和能力，发展良好的团队合作技巧，在宏观层面能够对专业发展有一个整体的认识和把握。</w:t>
      </w:r>
    </w:p>
    <w:p>
      <w:pPr>
        <w:spacing w:line="360" w:lineRule="auto"/>
        <w:ind w:firstLine="480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Cs/>
          <w:sz w:val="24"/>
        </w:rPr>
        <w:t>三、课程目标对毕业要求的支撑关系</w:t>
      </w:r>
    </w:p>
    <w:tbl>
      <w:tblPr>
        <w:tblStyle w:val="3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068"/>
        <w:gridCol w:w="130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毕业要求指标点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课程目标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1-2：具有良好的道德品质、人文底蕴、科学精神、职业素养、合作精神以及学科基本素养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3-1：具有发现问题、分析问题，运用新的思想从变革的角度找到解决问题方法的能力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36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3-2：提高对本专业领域问题进行文献研究、田野调查、统计分析、学术写作的能力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51" w:hRule="atLeast"/>
          <w:jc w:val="center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>
            <w:pPr>
              <w:jc w:val="left"/>
              <w:rPr>
                <w:rFonts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5-1：掌握文献检索、资料查询及运用现代信息技术获得相关信息的基本方法</w:t>
            </w:r>
          </w:p>
        </w:tc>
        <w:tc>
          <w:tcPr>
            <w:tcW w:w="1302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0.2</w:t>
            </w:r>
          </w:p>
        </w:tc>
      </w:tr>
    </w:tbl>
    <w:p>
      <w:pPr>
        <w:spacing w:line="360" w:lineRule="auto"/>
        <w:rPr>
          <w:rFonts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四、教学方式与方法</w:t>
      </w:r>
    </w:p>
    <w:p>
      <w:pPr>
        <w:spacing w:line="360" w:lineRule="auto"/>
        <w:ind w:left="-141" w:leftChars="-67"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本实践课程的教学方式和方法旨在培养学生的动手实践能力，加深对专业的认识，从而激发学习兴趣，常用的方法包括：</w:t>
      </w:r>
    </w:p>
    <w:p>
      <w:pPr>
        <w:pStyle w:val="5"/>
      </w:pPr>
      <w:r>
        <w:rPr>
          <w:rFonts w:hint="eastAsia"/>
        </w:rPr>
        <w:t>调研方式：网络调研和实地调研。</w:t>
      </w:r>
    </w:p>
    <w:p>
      <w:pPr>
        <w:pStyle w:val="5"/>
      </w:pPr>
      <w:r>
        <w:rPr>
          <w:rFonts w:hint="eastAsia"/>
        </w:rPr>
        <w:t>外出参观、考察以及面试、职场发展等讲座。</w:t>
      </w:r>
    </w:p>
    <w:p>
      <w:pPr>
        <w:pStyle w:val="5"/>
      </w:pPr>
      <w:r>
        <w:rPr>
          <w:rFonts w:hint="eastAsia"/>
        </w:rPr>
        <w:t>撰写实践报告。针对各个小组的实践活动，小组成员报告分组、调研方法、题目，问题与建议不得雷同，字数不得少于3000字，中文为主，中英结合。</w:t>
      </w:r>
    </w:p>
    <w:p>
      <w:pPr>
        <w:pStyle w:val="5"/>
      </w:pPr>
      <w:r>
        <w:rPr>
          <w:rFonts w:hint="eastAsia"/>
        </w:rPr>
        <w:t>专业认知实践借助国内领先的信息化实践平台——校友邦，实现对学生实践课程设置的精细化管理，实践教学过程的规范化管理，包括实习资源配置与管理，实习过程管理与辅导，实习质量监控以及最终考核评定。</w:t>
      </w:r>
    </w:p>
    <w:p>
      <w:pPr>
        <w:pStyle w:val="5"/>
        <w:ind w:firstLine="241" w:firstLineChars="100"/>
        <w:rPr>
          <w:rFonts w:ascii="黑体" w:hAnsi="黑体" w:eastAsia="黑体" w:cs="黑体"/>
          <w:b/>
          <w:szCs w:val="22"/>
        </w:rPr>
      </w:pPr>
      <w:r>
        <w:rPr>
          <w:rFonts w:hint="eastAsia" w:ascii="黑体" w:hAnsi="黑体" w:eastAsia="黑体" w:cs="黑体"/>
          <w:b/>
          <w:szCs w:val="22"/>
        </w:rPr>
        <w:t>五、教学重点与难点</w:t>
      </w:r>
    </w:p>
    <w:p>
      <w:pPr>
        <w:pStyle w:val="5"/>
        <w:ind w:firstLine="482"/>
        <w:rPr>
          <w:rFonts w:ascii="黑体" w:hAnsi="黑体" w:eastAsia="黑体" w:cs="黑体"/>
          <w:b/>
          <w:szCs w:val="22"/>
        </w:rPr>
      </w:pPr>
      <w:r>
        <w:rPr>
          <w:rFonts w:hint="eastAsia" w:ascii="黑体" w:hAnsi="黑体" w:eastAsia="黑体" w:cs="黑体"/>
          <w:b/>
          <w:szCs w:val="22"/>
        </w:rPr>
        <w:t>（一）教学重点</w:t>
      </w:r>
    </w:p>
    <w:p>
      <w:pPr>
        <w:pStyle w:val="5"/>
        <w:ind w:firstLineChars="0"/>
      </w:pPr>
      <w:r>
        <w:rPr>
          <w:rFonts w:hint="eastAsia"/>
        </w:rPr>
        <w:t>本课程通过前期教师的引导，学生运用科学的社会调查方法，对英语专业进行调研和选题，培养学生的自主调研能力，锻炼了学术研究的基本技能；在实践中，学生之间发挥各自主观能动性，通过理论联系实际，让学生将所学知识应用到实际工作中，增强实际解决问题的能力。</w:t>
      </w:r>
    </w:p>
    <w:p>
      <w:pPr>
        <w:pStyle w:val="5"/>
        <w:ind w:firstLine="479" w:firstLineChars="199"/>
        <w:rPr>
          <w:rFonts w:ascii="黑体" w:hAnsi="黑体" w:eastAsia="黑体" w:cs="黑体"/>
          <w:b/>
          <w:szCs w:val="22"/>
        </w:rPr>
      </w:pPr>
      <w:r>
        <w:rPr>
          <w:rFonts w:hint="eastAsia" w:ascii="黑体" w:hAnsi="黑体" w:eastAsia="黑体" w:cs="黑体"/>
          <w:b/>
          <w:szCs w:val="22"/>
        </w:rPr>
        <w:t>（二）教学难点</w:t>
      </w:r>
    </w:p>
    <w:p>
      <w:pPr>
        <w:pStyle w:val="5"/>
      </w:pPr>
      <w:r>
        <w:t>1.</w:t>
      </w:r>
      <w:r>
        <w:rPr>
          <w:rFonts w:hint="eastAsia"/>
        </w:rPr>
        <w:t>学生需要了解和掌握</w:t>
      </w:r>
      <w:r>
        <w:t>培训市场调研的基本知识、方法、注意事项。</w:t>
      </w:r>
    </w:p>
    <w:p>
      <w:pPr>
        <w:pStyle w:val="5"/>
      </w:pPr>
      <w:r>
        <w:t>2.</w:t>
      </w:r>
      <w:r>
        <w:rPr>
          <w:rFonts w:hint="eastAsia"/>
        </w:rPr>
        <w:t>学生通过小组分组的形式，各个小组需要</w:t>
      </w:r>
      <w:r>
        <w:t>讨论确定调研题目、对象、内容等,原则上以翻译公司、外宣外译、英语学习产品、翻译软件、机辅翻译工具、涉外酒店、英语标识语、旅游景点翻译、英语网络资源等与中英文翻译相关的内容为主</w:t>
      </w:r>
      <w:r>
        <w:rPr>
          <w:rFonts w:hint="eastAsia"/>
        </w:rPr>
        <w:t>，选择的方式和方法灵活多样，需要有的放矢，挖掘出典型元素</w:t>
      </w:r>
      <w:r>
        <w:t>。</w:t>
      </w:r>
    </w:p>
    <w:p>
      <w:pPr>
        <w:pStyle w:val="5"/>
      </w:pPr>
      <w:r>
        <w:t xml:space="preserve">3. </w:t>
      </w:r>
      <w:r>
        <w:rPr>
          <w:rFonts w:hint="eastAsia"/>
        </w:rPr>
        <w:t>学生需要运用科学的方法</w:t>
      </w:r>
      <w:r>
        <w:t>设计问题、问卷及调研方法。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六、教学内容、基本要求与学时分配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77"/>
        <w:gridCol w:w="1622"/>
        <w:gridCol w:w="3041"/>
        <w:gridCol w:w="709"/>
        <w:gridCol w:w="1050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教学内容</w:t>
            </w:r>
          </w:p>
        </w:tc>
        <w:tc>
          <w:tcPr>
            <w:tcW w:w="3041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基本要求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学时</w:t>
            </w:r>
          </w:p>
        </w:tc>
        <w:tc>
          <w:tcPr>
            <w:tcW w:w="105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教学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方式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24"/>
              </w:rPr>
              <w:t>对应课程目标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16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实践培训</w:t>
            </w:r>
          </w:p>
        </w:tc>
        <w:tc>
          <w:tcPr>
            <w:tcW w:w="3041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理清专业认知实践的基本实践要求及安排，与指导老师协商具体实践内容。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教师讲授，小组讨论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分组实践</w:t>
            </w:r>
          </w:p>
        </w:tc>
        <w:tc>
          <w:tcPr>
            <w:tcW w:w="3041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理解掌握专业认知中调查的对象、内容和标准，能够运用所学知识投入具体的项目实践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课后调研，分组讨论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23" w:hRule="atLeast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>
            <w:pPr>
              <w:ind w:firstLine="210" w:firstLineChars="1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62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实践汇报</w:t>
            </w:r>
          </w:p>
        </w:tc>
        <w:tc>
          <w:tcPr>
            <w:tcW w:w="3041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问卷等相关调查结束后，进行汇报展示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5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汇报展示</w:t>
            </w:r>
          </w:p>
        </w:tc>
        <w:tc>
          <w:tcPr>
            <w:tcW w:w="1506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240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napToGrid w:val="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 w:val="0"/>
                <w:kern w:val="0"/>
                <w:sz w:val="24"/>
              </w:rPr>
              <w:t>合  计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Cs w:val="21"/>
              </w:rPr>
              <w:t>1周</w:t>
            </w:r>
          </w:p>
        </w:tc>
        <w:tc>
          <w:tcPr>
            <w:tcW w:w="105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rFonts w:ascii="黑体" w:hAnsi="黑体" w:eastAsia="黑体" w:cs="黑体"/>
          <w:b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七、实习或</w:t>
      </w:r>
      <w:r>
        <w:rPr>
          <w:rFonts w:ascii="黑体" w:hAnsi="黑体" w:eastAsia="黑体" w:cs="黑体"/>
          <w:b/>
          <w:sz w:val="24"/>
        </w:rPr>
        <w:t>课程设计</w:t>
      </w:r>
      <w:r>
        <w:rPr>
          <w:rFonts w:hint="eastAsia" w:ascii="黑体" w:hAnsi="黑体" w:eastAsia="黑体" w:cs="黑体"/>
          <w:b/>
          <w:sz w:val="24"/>
        </w:rPr>
        <w:t>成果呈现要求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学生向指导教师提交小组</w:t>
      </w:r>
      <w:r>
        <w:rPr>
          <w:rFonts w:hint="eastAsia" w:ascii="仿宋_GB2312" w:hAnsi="Times New Roman" w:eastAsia="仿宋_GB2312" w:cs="Times New Roman"/>
          <w:sz w:val="24"/>
          <w:szCs w:val="24"/>
        </w:rPr>
        <w:t>PPT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，并以小组为单位进行汇报，然后，教师利用一周时间批阅并给出成绩，教研室归档。在撰写实践报告方面，小组成员的报告分组、调研方法、题目、内容可以相同，但实践体会、问题与建议不得雷同，字数不得少于3000字，中英结合，中文为主。汇报展示与撰写实践报告，要求实践结束后一周完成。 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实践成绩由以下几项构成：考勤与实践表现(10分)、汇报(30分)、报告(60)分，总分100分。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 xml:space="preserve"> 八、学业评价和课程考核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（一）考核类型：</w:t>
      </w:r>
      <w:r>
        <w:rPr>
          <w:rFonts w:hint="eastAsia" w:ascii="仿宋_GB2312" w:hAnsi="仿宋_GB2312" w:eastAsia="仿宋_GB2312" w:cs="仿宋_GB2312"/>
          <w:sz w:val="24"/>
        </w:rPr>
        <w:sym w:font="Wingdings" w:char="00FE"/>
      </w:r>
      <w:r>
        <w:rPr>
          <w:rFonts w:hint="eastAsia" w:ascii="仿宋_GB2312" w:hAnsi="仿宋_GB2312" w:eastAsia="仿宋_GB2312" w:cs="仿宋_GB2312"/>
          <w:sz w:val="24"/>
        </w:rPr>
        <w:t>考查</w:t>
      </w:r>
    </w:p>
    <w:p>
      <w:pPr>
        <w:tabs>
          <w:tab w:val="left" w:pos="672"/>
        </w:tabs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（二）考核方式：</w:t>
      </w:r>
      <w:r>
        <w:rPr>
          <w:rFonts w:hint="eastAsia" w:ascii="仿宋_GB2312" w:hAnsi="仿宋_GB2312" w:eastAsia="仿宋_GB2312" w:cs="仿宋_GB2312"/>
          <w:sz w:val="24"/>
        </w:rPr>
        <w:sym w:font="Wingdings" w:char="00FE"/>
      </w:r>
      <w:r>
        <w:rPr>
          <w:rFonts w:hint="eastAsia" w:ascii="仿宋_GB2312" w:hAnsi="仿宋_GB2312" w:eastAsia="仿宋_GB2312" w:cs="仿宋_GB2312"/>
          <w:sz w:val="24"/>
        </w:rPr>
        <w:t xml:space="preserve">实践报告  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sym w:font="Wingdings" w:char="F0A8"/>
      </w:r>
      <w:r>
        <w:rPr>
          <w:rFonts w:hint="eastAsia" w:ascii="仿宋_GB2312" w:hAnsi="仿宋_GB2312" w:eastAsia="仿宋_GB2312" w:cs="仿宋_GB2312"/>
          <w:sz w:val="24"/>
        </w:rPr>
        <w:t>实践作品</w:t>
      </w:r>
    </w:p>
    <w:p>
      <w:pPr>
        <w:tabs>
          <w:tab w:val="left" w:pos="672"/>
        </w:tabs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</w:rPr>
        <w:sym w:font="Wingdings" w:char="00A8"/>
      </w:r>
      <w:r>
        <w:rPr>
          <w:rFonts w:hint="eastAsia" w:ascii="仿宋_GB2312" w:hAnsi="仿宋_GB2312" w:eastAsia="仿宋_GB2312" w:cs="仿宋_GB2312"/>
          <w:sz w:val="24"/>
        </w:rPr>
        <w:t xml:space="preserve">其它：                  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（三）考核环节和考核方式对课程目标的支撑：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59"/>
        <w:gridCol w:w="1800"/>
        <w:gridCol w:w="2454"/>
        <w:gridCol w:w="1810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85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环节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考核内容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考核/评价方式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建议分值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（百分比）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对应课程目标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过程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napToGrid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过程环节1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依据学生实践培训参与度、小组讨论、表现等实践过程效果赋分。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过程环节2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根据学生汇报过程中各项实践任务的表现情况进行赋分，考察在专业认知过程情况、团队合作能力、所得结论的可信度等情况。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30%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59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成果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考核</w:t>
            </w:r>
          </w:p>
        </w:tc>
        <w:tc>
          <w:tcPr>
            <w:tcW w:w="180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实践报告</w:t>
            </w:r>
          </w:p>
        </w:tc>
        <w:tc>
          <w:tcPr>
            <w:tcW w:w="2454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根据学生撰写的实践报告从结构完整性、内容详实度及逻辑性等方面赋分。</w:t>
            </w:r>
          </w:p>
        </w:tc>
        <w:tc>
          <w:tcPr>
            <w:tcW w:w="1810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60%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课程目标1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课程目标2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课程目标3</w:t>
            </w:r>
          </w:p>
          <w:p>
            <w:pPr>
              <w:snapToGrid w:val="0"/>
              <w:contextualSpacing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（四）考核/评价细则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在过程考核环节中，过程环节1根据学生小组参与积极性、出勤等方面进行赋分，满分为10%，如无故出现未到情况，一次扣除5%，请假扣除2%。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过程环节2，根据小组汇报情况进行赋分，满分为30%，PPT展示的打分情况根据演讲者在台上表现、PPT信息完整性和准确性、视觉吸引力、逻辑度和创新性进行打分，满分为30%。</w:t>
      </w:r>
    </w:p>
    <w:p>
      <w:pPr>
        <w:tabs>
          <w:tab w:val="left" w:pos="672"/>
        </w:tabs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最终成果考核环节中，实践报告从结构完整性、内容、逻辑、创新点和格式等方面进行打分，满分为60%。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  <w:sz w:val="24"/>
        </w:rPr>
      </w:pPr>
      <w:r>
        <w:rPr>
          <w:rFonts w:hint="eastAsia" w:ascii="黑体" w:hAnsi="黑体" w:eastAsia="黑体" w:cs="黑体"/>
          <w:b/>
          <w:sz w:val="24"/>
        </w:rPr>
        <w:t>九、课程目标达成评价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1.评价目的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《专业认知实践》课程评价的目的在于全面评估学生在这门课程中的学习成果和进步，同时也为教师提供改进教学方法的依据。具体来说，课程评价的目的包括检验学习效果：通过考核学生对专业基础知识的掌握程度，检查他们是否达到了预期的学习目标；促进学生发展：评价不仅仅是给出分数，更重要的是要帮助学生认识到自身的优势和不足，从而指导他们在未来的学科学习中有针对性地提升自己。</w:t>
      </w:r>
    </w:p>
    <w:p>
      <w:pPr>
        <w:spacing w:line="360" w:lineRule="auto"/>
        <w:ind w:left="48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</w:t>
      </w:r>
      <w:r>
        <w:rPr>
          <w:rFonts w:ascii="仿宋_GB2312" w:hAnsi="仿宋_GB2312" w:eastAsia="仿宋_GB2312" w:cs="仿宋_GB2312"/>
          <w:sz w:val="24"/>
          <w:szCs w:val="24"/>
        </w:rPr>
        <w:t>评价内容和方法</w:t>
      </w:r>
    </w:p>
    <w:p>
      <w:pPr>
        <w:spacing w:line="360" w:lineRule="auto"/>
        <w:ind w:left="48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该部分分为三个维度，分别是调查前准备工作及汇报呈现的效果、解决问题的能力、创新维度。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</w:t>
      </w:r>
      <w:r>
        <w:rPr>
          <w:rFonts w:ascii="仿宋_GB2312" w:hAnsi="仿宋_GB2312" w:eastAsia="仿宋_GB2312" w:cs="仿宋_GB2312"/>
          <w:sz w:val="24"/>
          <w:szCs w:val="24"/>
        </w:rPr>
        <w:t>1）</w:t>
      </w:r>
      <w:r>
        <w:rPr>
          <w:rFonts w:hint="eastAsia" w:ascii="仿宋_GB2312" w:hAnsi="仿宋_GB2312" w:eastAsia="仿宋_GB2312" w:cs="仿宋_GB2312"/>
          <w:sz w:val="24"/>
          <w:szCs w:val="24"/>
        </w:rPr>
        <w:t>调查前准备工作及汇报呈现的效果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评价内容：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准备工作：学生在开展调查之前所做的准备工作，包括资料收集、方案设计、时间安排等。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汇报呈现：学生在汇报过程中展示的逻辑性、条理性以及使用多媒体辅助工具（如</w:t>
      </w:r>
      <w:r>
        <w:rPr>
          <w:rFonts w:ascii="Times New Roman" w:hAnsi="Times New Roman" w:eastAsia="仿宋_GB2312" w:cs="Times New Roman"/>
          <w:sz w:val="24"/>
          <w:szCs w:val="24"/>
        </w:rPr>
        <w:t>PPT</w:t>
      </w:r>
      <w:r>
        <w:rPr>
          <w:rFonts w:hint="eastAsia" w:ascii="仿宋_GB2312" w:hAnsi="仿宋_GB2312" w:eastAsia="仿宋_GB2312" w:cs="仿宋_GB2312"/>
          <w:sz w:val="24"/>
          <w:szCs w:val="24"/>
        </w:rPr>
        <w:t>、视频）的能力。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评价方法：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准备工作的文档审查：检查学生提交的准备材料，如计划书、问卷设计、访谈提纲等。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（2）解决问题的能力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评价内容：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问题识别：学生能否准确地识别出调查对象中存在的主要问题。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问题分析：学生是否能够深入分析问题的原因，并提出合理的假设。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解决方案：学生能否基于分析结果提出可行的解决方案，并评估这些方案的可行性。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评价方法：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问题清单：列出学生在调查过程中发现的问题，并评估这些问题的相关性和重要性。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分析报告：通过学生的分析报告来评估其分析问题的能力，报告应包含数据支持和逻辑推理。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解决方案评审：评审学生提出的解决方案，看是否具有创新性、可操作性。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（3）创新维度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评价内容：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创意新颖性：学生在解决问题时是否有独特的视角和想法。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方法创新性：学生是否运用了不同于常规的方法和技术来解决问题。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评价方法：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创新提案：鼓励学生提交创新性的提案，并对其原创性和价值进行评审。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通过以上三个维度的评价，不仅可以全面地评估学生在《专业认知实践》课程中的表现，还能激励学生在实践中积极思考、勇于创新。</w:t>
      </w:r>
    </w:p>
    <w:p>
      <w:pPr>
        <w:spacing w:line="360" w:lineRule="auto"/>
        <w:ind w:firstLine="482" w:firstLineChars="200"/>
        <w:rPr>
          <w:rFonts w:ascii="黑体" w:hAnsi="黑体" w:eastAsia="黑体" w:cs="黑体"/>
          <w:bCs/>
          <w:color w:val="FF0000"/>
        </w:rPr>
      </w:pPr>
      <w:r>
        <w:rPr>
          <w:rFonts w:hint="eastAsia" w:ascii="黑体" w:hAnsi="黑体" w:eastAsia="黑体" w:cs="黑体"/>
          <w:b/>
          <w:sz w:val="24"/>
        </w:rPr>
        <w:t>十、推荐教材和主要参考资料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（一）参考教材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1.《</w:t>
      </w:r>
      <w:r>
        <w:rPr>
          <w:rFonts w:hint="eastAsia" w:ascii="仿宋_GB2312" w:hAnsi="仿宋_GB2312" w:eastAsia="仿宋_GB2312" w:cs="仿宋_GB2312"/>
          <w:sz w:val="24"/>
          <w:szCs w:val="24"/>
        </w:rPr>
        <w:t>新时代调查研究实用方法》，林存华，大有书局，</w:t>
      </w:r>
      <w:r>
        <w:rPr>
          <w:rFonts w:ascii="仿宋_GB2312" w:hAnsi="仿宋_GB2312" w:eastAsia="仿宋_GB2312" w:cs="仿宋_GB2312"/>
          <w:sz w:val="24"/>
          <w:szCs w:val="24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2.《</w:t>
      </w:r>
      <w:r>
        <w:rPr>
          <w:rFonts w:hint="eastAsia" w:ascii="仿宋_GB2312" w:hAnsi="仿宋_GB2312" w:eastAsia="仿宋_GB2312" w:cs="仿宋_GB2312"/>
          <w:sz w:val="24"/>
          <w:szCs w:val="24"/>
        </w:rPr>
        <w:t>公示语翻译</w:t>
      </w:r>
      <w:r>
        <w:rPr>
          <w:rFonts w:ascii="仿宋_GB2312" w:hAnsi="仿宋_GB2312" w:eastAsia="仿宋_GB2312" w:cs="仿宋_GB2312"/>
          <w:sz w:val="24"/>
          <w:szCs w:val="24"/>
        </w:rPr>
        <w:t>》，</w:t>
      </w:r>
      <w:r>
        <w:rPr>
          <w:rFonts w:hint="eastAsia" w:ascii="仿宋_GB2312" w:hAnsi="仿宋_GB2312" w:eastAsia="仿宋_GB2312" w:cs="仿宋_GB2312"/>
          <w:sz w:val="24"/>
          <w:szCs w:val="24"/>
        </w:rPr>
        <w:t>吕和发</w:t>
      </w:r>
      <w:r>
        <w:rPr>
          <w:rFonts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外文出版社</w:t>
      </w:r>
      <w:r>
        <w:rPr>
          <w:rFonts w:ascii="仿宋_GB2312" w:hAnsi="仿宋_GB2312" w:eastAsia="仿宋_GB2312" w:cs="仿宋_GB2312"/>
          <w:sz w:val="24"/>
          <w:szCs w:val="24"/>
        </w:rPr>
        <w:t>，201</w:t>
      </w:r>
      <w:r>
        <w:rPr>
          <w:rFonts w:hint="eastAsia" w:ascii="仿宋_GB2312" w:hAnsi="仿宋_GB2312" w:eastAsia="仿宋_GB2312" w:cs="仿宋_GB2312"/>
          <w:sz w:val="24"/>
          <w:szCs w:val="24"/>
        </w:rPr>
        <w:t>1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3.</w:t>
      </w:r>
      <w:r>
        <w:rPr>
          <w:rFonts w:hint="eastAsia" w:ascii="仿宋_GB2312" w:hAnsi="仿宋_GB2312" w:eastAsia="仿宋_GB2312" w:cs="仿宋_GB2312"/>
          <w:sz w:val="24"/>
          <w:szCs w:val="24"/>
        </w:rPr>
        <w:t>《旅游英汉互译教程（第二版）》，陈刚，上海外语教育出版社，</w:t>
      </w:r>
      <w:r>
        <w:rPr>
          <w:rFonts w:ascii="仿宋_GB2312" w:hAnsi="仿宋_GB2312" w:eastAsia="仿宋_GB2312" w:cs="仿宋_GB2312"/>
          <w:sz w:val="24"/>
          <w:szCs w:val="24"/>
        </w:rPr>
        <w:t>20</w:t>
      </w:r>
      <w:r>
        <w:rPr>
          <w:rFonts w:hint="eastAsia" w:ascii="仿宋_GB2312" w:hAnsi="仿宋_GB2312" w:eastAsia="仿宋_GB2312" w:cs="仿宋_GB2312"/>
          <w:sz w:val="24"/>
          <w:szCs w:val="24"/>
        </w:rPr>
        <w:t>21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4.《</w:t>
      </w:r>
      <w:r>
        <w:rPr>
          <w:rFonts w:hint="eastAsia" w:ascii="仿宋_GB2312" w:hAnsi="仿宋_GB2312" w:eastAsia="仿宋_GB2312" w:cs="仿宋_GB2312"/>
          <w:sz w:val="24"/>
          <w:szCs w:val="24"/>
        </w:rPr>
        <w:t>涉外酒店英语</w:t>
      </w:r>
      <w:r>
        <w:rPr>
          <w:rFonts w:ascii="仿宋_GB2312" w:hAnsi="仿宋_GB2312" w:eastAsia="仿宋_GB2312" w:cs="仿宋_GB2312"/>
          <w:sz w:val="24"/>
          <w:szCs w:val="24"/>
        </w:rPr>
        <w:t>》，</w:t>
      </w:r>
      <w:r>
        <w:rPr>
          <w:rFonts w:hint="eastAsia" w:ascii="仿宋_GB2312" w:hAnsi="仿宋_GB2312" w:eastAsia="仿宋_GB2312" w:cs="仿宋_GB2312"/>
          <w:sz w:val="24"/>
          <w:szCs w:val="24"/>
        </w:rPr>
        <w:t>陈桃秀，陈泳帆</w:t>
      </w:r>
      <w:r>
        <w:rPr>
          <w:rFonts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对外经济贸易大学出版社</w:t>
      </w:r>
      <w:r>
        <w:rPr>
          <w:rFonts w:ascii="仿宋_GB2312" w:hAnsi="仿宋_GB2312" w:eastAsia="仿宋_GB2312" w:cs="仿宋_GB2312"/>
          <w:sz w:val="24"/>
          <w:szCs w:val="24"/>
        </w:rPr>
        <w:t>，20</w:t>
      </w:r>
      <w:r>
        <w:rPr>
          <w:rFonts w:hint="eastAsia" w:ascii="仿宋_GB2312" w:hAnsi="仿宋_GB2312" w:eastAsia="仿宋_GB2312" w:cs="仿宋_GB2312"/>
          <w:sz w:val="24"/>
          <w:szCs w:val="24"/>
        </w:rPr>
        <w:t>15</w:t>
      </w:r>
      <w:r>
        <w:rPr>
          <w:rFonts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（二）网络资源</w:t>
      </w:r>
    </w:p>
    <w:p>
      <w:pPr>
        <w:pStyle w:val="5"/>
      </w:pPr>
      <w:r>
        <w:rPr>
          <w:rFonts w:hint="eastAsia"/>
        </w:rPr>
        <w:t>专业认知实践借助信息化实践平台校友邦，实现对学生实践课程设置的精细化管理，实践教学过程的规范化管理，包括实习资源配置与管理，实习过程管理与辅导，实习质量监控以及最终考核评定。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Dg5MWQzZWExZjdiNWVkZTk2M2NjOGY3OGM3OTcifQ=="/>
  </w:docVars>
  <w:rsids>
    <w:rsidRoot w:val="00000000"/>
    <w:rsid w:val="54025213"/>
    <w:rsid w:val="6927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方正小标宋简体"/>
      <w:b/>
      <w:bCs/>
      <w:kern w:val="44"/>
      <w:sz w:val="44"/>
      <w:szCs w:val="4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autoRedefine/>
    <w:qFormat/>
    <w:uiPriority w:val="0"/>
    <w:pPr>
      <w:spacing w:line="360" w:lineRule="auto"/>
      <w:ind w:firstLine="480" w:firstLineChars="200"/>
    </w:pPr>
    <w:rPr>
      <w:rFonts w:ascii="仿宋_GB2312" w:hAnsi="仿宋_GB2312" w:eastAsia="仿宋_GB2312" w:cs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2023-05-27T13:56:00Z</dcterms:created>
  <dc:creator>Administrator</dc:creator>
  <cp:lastModifiedBy>CJ</cp:lastModifiedBy>
  <dcterms:modified xsi:type="dcterms:W3CDTF">2026-01-04T03:41:31Z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AFC2E9DB28A540A08B4E0C301DF83979_12</vt:lpwstr>
  </property>
</Properties>
</file>